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5B" w:rsidRPr="00F36428" w:rsidRDefault="00E7464A" w:rsidP="0058735B">
      <w:pPr>
        <w:spacing w:after="0"/>
        <w:rPr>
          <w:rFonts w:asciiTheme="majorHAnsi" w:hAnsiTheme="majorHAnsi" w:cs="Times New Roman"/>
          <w:b/>
        </w:rPr>
      </w:pPr>
      <w:bookmarkStart w:id="0" w:name="_GoBack"/>
      <w:bookmarkEnd w:id="0"/>
      <w:r>
        <w:rPr>
          <w:rFonts w:asciiTheme="majorHAnsi" w:hAnsiTheme="majorHAnsi" w:cs="Times New Roman"/>
          <w:b/>
          <w:noProof/>
        </w:rPr>
        <w:drawing>
          <wp:anchor distT="0" distB="0" distL="114300" distR="114300" simplePos="0" relativeHeight="251658240" behindDoc="0" locked="0" layoutInCell="1" allowOverlap="1" wp14:anchorId="7F406A67" wp14:editId="653EE302">
            <wp:simplePos x="0" y="0"/>
            <wp:positionH relativeFrom="column">
              <wp:posOffset>1905</wp:posOffset>
            </wp:positionH>
            <wp:positionV relativeFrom="paragraph">
              <wp:posOffset>-8255</wp:posOffset>
            </wp:positionV>
            <wp:extent cx="355600" cy="3683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xcel-LogoSM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600" cy="368300"/>
                    </a:xfrm>
                    <a:prstGeom prst="rect">
                      <a:avLst/>
                    </a:prstGeom>
                  </pic:spPr>
                </pic:pic>
              </a:graphicData>
            </a:graphic>
            <wp14:sizeRelH relativeFrom="page">
              <wp14:pctWidth>0</wp14:pctWidth>
            </wp14:sizeRelH>
            <wp14:sizeRelV relativeFrom="page">
              <wp14:pctHeight>0</wp14:pctHeight>
            </wp14:sizeRelV>
          </wp:anchor>
        </w:drawing>
      </w:r>
      <w:r w:rsidR="0058735B" w:rsidRPr="00F36428">
        <w:rPr>
          <w:rFonts w:asciiTheme="majorHAnsi" w:hAnsiTheme="majorHAnsi" w:cs="Times New Roman"/>
          <w:b/>
        </w:rPr>
        <w:t>E. EXCEL - North America</w:t>
      </w:r>
      <w:r w:rsidR="0058735B" w:rsidRPr="00F36428">
        <w:rPr>
          <w:rFonts w:asciiTheme="majorHAnsi" w:hAnsiTheme="majorHAnsi" w:cs="Times New Roman"/>
          <w:b/>
        </w:rPr>
        <w:tab/>
      </w:r>
      <w:r w:rsidR="0058735B" w:rsidRPr="00F36428">
        <w:rPr>
          <w:rFonts w:asciiTheme="majorHAnsi" w:hAnsiTheme="majorHAnsi" w:cs="Times New Roman"/>
          <w:b/>
        </w:rPr>
        <w:tab/>
      </w:r>
      <w:r w:rsidR="0058735B" w:rsidRPr="00F36428">
        <w:rPr>
          <w:rFonts w:asciiTheme="majorHAnsi" w:hAnsiTheme="majorHAnsi" w:cs="Times New Roman"/>
          <w:b/>
        </w:rPr>
        <w:tab/>
      </w:r>
      <w:r w:rsidR="0058735B" w:rsidRPr="00F36428">
        <w:rPr>
          <w:rFonts w:asciiTheme="majorHAnsi" w:hAnsiTheme="majorHAnsi" w:cs="Times New Roman"/>
          <w:b/>
        </w:rPr>
        <w:tab/>
      </w:r>
      <w:r w:rsidR="0058735B" w:rsidRPr="00F36428">
        <w:rPr>
          <w:rFonts w:asciiTheme="majorHAnsi" w:hAnsiTheme="majorHAnsi" w:cs="Times New Roman"/>
          <w:b/>
        </w:rPr>
        <w:tab/>
      </w:r>
      <w:r w:rsidR="0058735B" w:rsidRPr="00F36428">
        <w:rPr>
          <w:rFonts w:asciiTheme="majorHAnsi" w:hAnsiTheme="majorHAnsi" w:cs="Times New Roman"/>
          <w:b/>
        </w:rPr>
        <w:tab/>
      </w:r>
      <w:r w:rsidR="0058735B" w:rsidRPr="00F36428">
        <w:rPr>
          <w:rFonts w:asciiTheme="majorHAnsi" w:hAnsiTheme="majorHAnsi" w:cs="Times New Roman"/>
          <w:b/>
        </w:rPr>
        <w:tab/>
      </w:r>
      <w:r w:rsidR="0058735B" w:rsidRPr="00F36428">
        <w:rPr>
          <w:rFonts w:asciiTheme="majorHAnsi" w:hAnsiTheme="majorHAnsi" w:cs="Times New Roman"/>
          <w:b/>
        </w:rPr>
        <w:tab/>
      </w:r>
    </w:p>
    <w:p w:rsidR="0058735B" w:rsidRPr="00F36428" w:rsidRDefault="0058735B" w:rsidP="0058735B">
      <w:pPr>
        <w:rPr>
          <w:rFonts w:asciiTheme="majorHAnsi" w:hAnsiTheme="majorHAnsi"/>
        </w:rPr>
      </w:pPr>
      <w:r w:rsidRPr="00F36428">
        <w:rPr>
          <w:rFonts w:asciiTheme="majorHAnsi" w:hAnsiTheme="majorHAnsi" w:cs="Times New Roman"/>
          <w:b/>
        </w:rPr>
        <w:t>North America Distributor Income Disclosure Statement</w:t>
      </w:r>
      <w:r w:rsidRPr="00F36428">
        <w:rPr>
          <w:rFonts w:asciiTheme="majorHAnsi" w:hAnsiTheme="majorHAnsi" w:cs="Times New Roman"/>
          <w:b/>
        </w:rPr>
        <w:tab/>
      </w:r>
      <w:r w:rsidR="00FB1B65">
        <w:rPr>
          <w:rFonts w:asciiTheme="majorHAnsi" w:hAnsiTheme="majorHAnsi" w:cs="Times New Roman"/>
          <w:b/>
        </w:rPr>
        <w:t>2015</w:t>
      </w:r>
      <w:r w:rsidR="00E7464A">
        <w:rPr>
          <w:rFonts w:asciiTheme="majorHAnsi" w:hAnsiTheme="majorHAnsi"/>
        </w:rPr>
        <w:tab/>
      </w:r>
      <w:r w:rsidR="00E7464A">
        <w:rPr>
          <w:rFonts w:asciiTheme="majorHAnsi" w:hAnsiTheme="majorHAnsi"/>
        </w:rPr>
        <w:tab/>
      </w:r>
      <w:r w:rsidR="00E7464A">
        <w:rPr>
          <w:rFonts w:asciiTheme="majorHAnsi" w:hAnsiTheme="majorHAnsi"/>
        </w:rPr>
        <w:tab/>
      </w:r>
    </w:p>
    <w:p w:rsidR="0058735B" w:rsidRPr="00F36428" w:rsidRDefault="0058735B" w:rsidP="0058735B">
      <w:pPr>
        <w:rPr>
          <w:rFonts w:ascii="Cambria" w:hAnsi="Cambria" w:cs="Times New Roman"/>
          <w:sz w:val="20"/>
          <w:szCs w:val="20"/>
        </w:rPr>
      </w:pPr>
      <w:r w:rsidRPr="00F36428">
        <w:rPr>
          <w:rFonts w:ascii="Cambria" w:hAnsi="Cambria" w:cs="Times New Roman"/>
          <w:sz w:val="20"/>
          <w:szCs w:val="20"/>
        </w:rPr>
        <w:t xml:space="preserve">People join E. EXCEL North America as Independent Distributors for many different reasons. </w:t>
      </w:r>
      <w:r w:rsidR="00FB1B65">
        <w:rPr>
          <w:rFonts w:ascii="Cambria" w:hAnsi="Cambria" w:cs="Times New Roman"/>
          <w:sz w:val="20"/>
          <w:szCs w:val="20"/>
        </w:rPr>
        <w:t>Our</w:t>
      </w:r>
      <w:r w:rsidRPr="00F36428">
        <w:rPr>
          <w:rFonts w:ascii="Cambria" w:hAnsi="Cambria" w:cs="Times New Roman"/>
          <w:sz w:val="20"/>
          <w:szCs w:val="20"/>
        </w:rPr>
        <w:t xml:space="preserve"> Distributors join to have access to our outstanding products at preferred prices</w:t>
      </w:r>
      <w:r w:rsidR="00FB1B65">
        <w:rPr>
          <w:rFonts w:ascii="Cambria" w:hAnsi="Cambria" w:cs="Times New Roman"/>
          <w:sz w:val="20"/>
          <w:szCs w:val="20"/>
        </w:rPr>
        <w:t>. S</w:t>
      </w:r>
      <w:r w:rsidRPr="00F36428">
        <w:rPr>
          <w:rFonts w:ascii="Cambria" w:hAnsi="Cambria" w:cs="Times New Roman"/>
          <w:sz w:val="20"/>
          <w:szCs w:val="20"/>
        </w:rPr>
        <w:t>ome are looking to take advantage of the financial opportunities offered for their hard work, while others are looking for more control of their time and independence.</w:t>
      </w:r>
      <w:r w:rsidRPr="00F36428">
        <w:rPr>
          <w:rFonts w:ascii="Cambria" w:hAnsi="Cambria" w:cs="Times New Roman"/>
          <w:sz w:val="20"/>
          <w:szCs w:val="20"/>
        </w:rPr>
        <w:tab/>
      </w:r>
      <w:r w:rsidRPr="00F36428">
        <w:rPr>
          <w:rFonts w:ascii="Cambria" w:hAnsi="Cambria" w:cs="Times New Roman"/>
          <w:sz w:val="20"/>
          <w:szCs w:val="20"/>
        </w:rPr>
        <w:tab/>
      </w:r>
      <w:r w:rsidRPr="00F36428">
        <w:rPr>
          <w:rFonts w:ascii="Cambria" w:hAnsi="Cambria" w:cs="Times New Roman"/>
          <w:sz w:val="20"/>
          <w:szCs w:val="20"/>
        </w:rPr>
        <w:tab/>
      </w:r>
      <w:r w:rsidRPr="00F36428">
        <w:rPr>
          <w:rFonts w:ascii="Cambria" w:hAnsi="Cambria" w:cs="Times New Roman"/>
          <w:sz w:val="20"/>
          <w:szCs w:val="20"/>
        </w:rPr>
        <w:tab/>
      </w:r>
    </w:p>
    <w:p w:rsidR="0058735B" w:rsidRPr="00F36428" w:rsidRDefault="0058735B" w:rsidP="0058735B">
      <w:pPr>
        <w:rPr>
          <w:rFonts w:ascii="Cambria" w:hAnsi="Cambria" w:cs="Times New Roman"/>
          <w:sz w:val="20"/>
          <w:szCs w:val="20"/>
        </w:rPr>
      </w:pPr>
      <w:r w:rsidRPr="00F36428">
        <w:rPr>
          <w:rFonts w:ascii="Cambria" w:hAnsi="Cambria" w:cs="Times New Roman"/>
          <w:sz w:val="20"/>
          <w:szCs w:val="20"/>
        </w:rPr>
        <w:t xml:space="preserve">Whatever their motivation for joining as a Distributor, we believe that our commitment to maintain the highest quality products possible will allow them the opportunity to achieve their objectives. </w:t>
      </w:r>
    </w:p>
    <w:p w:rsidR="0058735B" w:rsidRPr="00F36428" w:rsidRDefault="0058735B" w:rsidP="0058735B">
      <w:pPr>
        <w:rPr>
          <w:rFonts w:ascii="Cambria" w:hAnsi="Cambria" w:cs="Times New Roman"/>
          <w:sz w:val="20"/>
          <w:szCs w:val="20"/>
        </w:rPr>
      </w:pPr>
      <w:r w:rsidRPr="00F36428">
        <w:rPr>
          <w:rFonts w:ascii="Cambria" w:hAnsi="Cambria" w:cs="Times New Roman"/>
          <w:sz w:val="20"/>
          <w:szCs w:val="20"/>
        </w:rPr>
        <w:t>Distributors take advantage of the preferred pricing on products for their own consumption and that of their families. Other Distributors sell our products in a retail environment for a profit. The cost savings of preferred pricing and retail profits are not included in any of the compensation figures presented.</w:t>
      </w:r>
    </w:p>
    <w:p w:rsidR="0058735B" w:rsidRPr="00F36428" w:rsidRDefault="0058735B" w:rsidP="0058735B">
      <w:pPr>
        <w:rPr>
          <w:rFonts w:ascii="Cambria" w:hAnsi="Cambria" w:cs="Times New Roman"/>
          <w:sz w:val="20"/>
          <w:szCs w:val="20"/>
        </w:rPr>
      </w:pPr>
      <w:r w:rsidRPr="00F36428">
        <w:rPr>
          <w:rFonts w:ascii="Cambria" w:hAnsi="Cambria" w:cs="Times New Roman"/>
          <w:sz w:val="20"/>
          <w:szCs w:val="20"/>
        </w:rPr>
        <w:t xml:space="preserve">Distributors also earn commissions and bonuses based on the sales of products by Distributors in their organization as provided in the E. EXCEL Compensation Plan. They </w:t>
      </w:r>
      <w:proofErr w:type="gramStart"/>
      <w:r w:rsidRPr="00F36428">
        <w:rPr>
          <w:rFonts w:ascii="Cambria" w:hAnsi="Cambria" w:cs="Times New Roman"/>
          <w:sz w:val="20"/>
          <w:szCs w:val="20"/>
        </w:rPr>
        <w:t>are not paid</w:t>
      </w:r>
      <w:proofErr w:type="gramEnd"/>
      <w:r w:rsidRPr="00F36428">
        <w:rPr>
          <w:rFonts w:ascii="Cambria" w:hAnsi="Cambria" w:cs="Times New Roman"/>
          <w:sz w:val="20"/>
          <w:szCs w:val="20"/>
        </w:rPr>
        <w:t xml:space="preserve"> for sponsoring new Distributors. The opportunity to build their own business based on the sales of our outstanding E. EXCEL products is an opportunity that some Distributors have chosen to pursue.  </w:t>
      </w:r>
      <w:r w:rsidRPr="00F36428">
        <w:rPr>
          <w:rFonts w:ascii="Cambria" w:hAnsi="Cambria" w:cs="Times New Roman"/>
          <w:sz w:val="20"/>
          <w:szCs w:val="20"/>
        </w:rPr>
        <w:tab/>
      </w:r>
    </w:p>
    <w:p w:rsidR="0058735B" w:rsidRPr="00F36428" w:rsidRDefault="0058735B" w:rsidP="0058735B">
      <w:pPr>
        <w:rPr>
          <w:rFonts w:ascii="Cambria" w:hAnsi="Cambria" w:cs="Times New Roman"/>
          <w:sz w:val="20"/>
          <w:szCs w:val="20"/>
        </w:rPr>
      </w:pPr>
      <w:r w:rsidRPr="00F36428">
        <w:rPr>
          <w:rFonts w:ascii="Cambria" w:hAnsi="Cambria" w:cs="Times New Roman"/>
          <w:sz w:val="20"/>
          <w:szCs w:val="20"/>
        </w:rPr>
        <w:t xml:space="preserve">Active Distributors are Distributors who have placed a product order directly with the company or from </w:t>
      </w:r>
      <w:proofErr w:type="gramStart"/>
      <w:r w:rsidRPr="00F36428">
        <w:rPr>
          <w:rFonts w:ascii="Cambria" w:hAnsi="Cambria" w:cs="Times New Roman"/>
          <w:sz w:val="20"/>
          <w:szCs w:val="20"/>
        </w:rPr>
        <w:t>another</w:t>
      </w:r>
      <w:proofErr w:type="gramEnd"/>
      <w:r w:rsidRPr="00F36428">
        <w:rPr>
          <w:rFonts w:ascii="Cambria" w:hAnsi="Cambria" w:cs="Times New Roman"/>
          <w:sz w:val="20"/>
          <w:szCs w:val="20"/>
        </w:rPr>
        <w:t xml:space="preserve"> Distributor within the past 12 months. </w:t>
      </w:r>
      <w:r w:rsidRPr="00F36428">
        <w:rPr>
          <w:rFonts w:ascii="Cambria" w:hAnsi="Cambria" w:cs="Times New Roman"/>
          <w:sz w:val="20"/>
          <w:szCs w:val="20"/>
        </w:rPr>
        <w:tab/>
      </w:r>
    </w:p>
    <w:p w:rsidR="00F36428" w:rsidRPr="00F36428" w:rsidRDefault="0058735B" w:rsidP="00F36428">
      <w:pPr>
        <w:pBdr>
          <w:bottom w:val="single" w:sz="4" w:space="1" w:color="auto"/>
        </w:pBdr>
        <w:spacing w:after="0"/>
        <w:rPr>
          <w:rFonts w:asciiTheme="majorHAnsi" w:hAnsiTheme="majorHAnsi"/>
          <w:b/>
          <w:sz w:val="20"/>
          <w:szCs w:val="20"/>
        </w:rPr>
      </w:pPr>
      <w:r w:rsidRPr="00F36428">
        <w:rPr>
          <w:rFonts w:asciiTheme="majorHAnsi" w:hAnsiTheme="majorHAnsi"/>
          <w:b/>
          <w:sz w:val="20"/>
          <w:szCs w:val="20"/>
        </w:rPr>
        <w:t>Active Distributors with No Downline Distributors</w:t>
      </w:r>
      <w:r w:rsidRPr="00F36428">
        <w:rPr>
          <w:rFonts w:asciiTheme="majorHAnsi" w:hAnsiTheme="majorHAnsi"/>
          <w:b/>
          <w:sz w:val="20"/>
          <w:szCs w:val="20"/>
        </w:rPr>
        <w:tab/>
      </w:r>
      <w:r w:rsidRPr="00F36428">
        <w:rPr>
          <w:rFonts w:asciiTheme="majorHAnsi" w:hAnsiTheme="majorHAnsi"/>
          <w:b/>
          <w:sz w:val="20"/>
          <w:szCs w:val="20"/>
        </w:rPr>
        <w:tab/>
      </w:r>
      <w:r w:rsidRPr="00F36428">
        <w:rPr>
          <w:rFonts w:asciiTheme="majorHAnsi" w:hAnsiTheme="majorHAnsi"/>
          <w:b/>
          <w:sz w:val="20"/>
          <w:szCs w:val="20"/>
        </w:rPr>
        <w:tab/>
      </w:r>
      <w:r w:rsidRPr="00F36428">
        <w:rPr>
          <w:rFonts w:asciiTheme="majorHAnsi" w:hAnsiTheme="majorHAnsi"/>
          <w:b/>
          <w:sz w:val="20"/>
          <w:szCs w:val="20"/>
        </w:rPr>
        <w:tab/>
      </w:r>
      <w:r w:rsidR="00FB1B65">
        <w:rPr>
          <w:rFonts w:asciiTheme="majorHAnsi" w:hAnsiTheme="majorHAnsi"/>
          <w:b/>
          <w:sz w:val="20"/>
          <w:szCs w:val="20"/>
        </w:rPr>
        <w:t>45.28</w:t>
      </w:r>
      <w:r w:rsidRPr="00F36428">
        <w:rPr>
          <w:rFonts w:asciiTheme="majorHAnsi" w:hAnsiTheme="majorHAnsi"/>
          <w:b/>
          <w:sz w:val="20"/>
          <w:szCs w:val="20"/>
        </w:rPr>
        <w:t>%</w:t>
      </w:r>
      <w:r w:rsidRPr="00F36428">
        <w:rPr>
          <w:rFonts w:asciiTheme="majorHAnsi" w:hAnsiTheme="majorHAnsi"/>
          <w:b/>
          <w:sz w:val="20"/>
          <w:szCs w:val="20"/>
        </w:rPr>
        <w:tab/>
      </w:r>
    </w:p>
    <w:p w:rsidR="0058735B" w:rsidRPr="00F36428" w:rsidRDefault="0058735B" w:rsidP="00F36428">
      <w:pPr>
        <w:spacing w:after="0"/>
        <w:ind w:firstLine="720"/>
        <w:rPr>
          <w:rFonts w:ascii="Cambria" w:hAnsi="Cambria" w:cs="Times New Roman"/>
          <w:sz w:val="20"/>
          <w:szCs w:val="20"/>
        </w:rPr>
      </w:pPr>
      <w:r w:rsidRPr="00F36428">
        <w:rPr>
          <w:rFonts w:ascii="Cambria" w:hAnsi="Cambria" w:cs="Times New Roman"/>
          <w:sz w:val="20"/>
          <w:szCs w:val="20"/>
        </w:rPr>
        <w:t>Enjoy Wholesale Pricing on All Product Purchases</w:t>
      </w:r>
      <w:r w:rsidRPr="00F36428">
        <w:rPr>
          <w:rFonts w:ascii="Cambria" w:hAnsi="Cambria" w:cs="Times New Roman"/>
          <w:sz w:val="20"/>
          <w:szCs w:val="20"/>
        </w:rPr>
        <w:br/>
      </w:r>
      <w:r w:rsidRPr="00F36428">
        <w:rPr>
          <w:rFonts w:ascii="Cambria" w:hAnsi="Cambria" w:cs="Times New Roman"/>
          <w:sz w:val="20"/>
          <w:szCs w:val="20"/>
        </w:rPr>
        <w:tab/>
        <w:t>Retail Profit on Sales to Non Distributors</w:t>
      </w:r>
      <w:r w:rsidRPr="00F36428">
        <w:rPr>
          <w:rFonts w:ascii="Cambria" w:hAnsi="Cambria" w:cs="Times New Roman"/>
          <w:sz w:val="20"/>
          <w:szCs w:val="20"/>
        </w:rPr>
        <w:br/>
      </w:r>
      <w:r w:rsidRPr="00F36428">
        <w:rPr>
          <w:rFonts w:ascii="Cambria" w:hAnsi="Cambria" w:cs="Times New Roman"/>
          <w:sz w:val="20"/>
          <w:szCs w:val="20"/>
        </w:rPr>
        <w:tab/>
      </w:r>
      <w:r w:rsidR="00FB1B65">
        <w:rPr>
          <w:rFonts w:ascii="Cambria" w:hAnsi="Cambria" w:cs="Times New Roman"/>
          <w:sz w:val="20"/>
          <w:szCs w:val="20"/>
        </w:rPr>
        <w:t xml:space="preserve">Option to </w:t>
      </w:r>
      <w:r w:rsidRPr="00F36428">
        <w:rPr>
          <w:rFonts w:ascii="Cambria" w:hAnsi="Cambria" w:cs="Times New Roman"/>
          <w:sz w:val="20"/>
          <w:szCs w:val="20"/>
        </w:rPr>
        <w:t>Join Club of Excellence</w:t>
      </w:r>
      <w:r w:rsidRPr="00F36428">
        <w:rPr>
          <w:rFonts w:ascii="Cambria" w:hAnsi="Cambria" w:cs="Times New Roman"/>
          <w:sz w:val="20"/>
          <w:szCs w:val="20"/>
        </w:rPr>
        <w:tab/>
      </w:r>
      <w:r w:rsidRPr="00F36428">
        <w:rPr>
          <w:rFonts w:ascii="Cambria" w:hAnsi="Cambria" w:cs="Times New Roman"/>
          <w:sz w:val="20"/>
          <w:szCs w:val="20"/>
        </w:rPr>
        <w:tab/>
      </w:r>
      <w:r w:rsidRPr="00F36428">
        <w:rPr>
          <w:rFonts w:ascii="Cambria" w:hAnsi="Cambria" w:cs="Times New Roman"/>
          <w:sz w:val="20"/>
          <w:szCs w:val="20"/>
        </w:rPr>
        <w:tab/>
      </w:r>
      <w:r w:rsidRPr="00F36428">
        <w:rPr>
          <w:rFonts w:ascii="Cambria" w:hAnsi="Cambria" w:cs="Times New Roman"/>
          <w:sz w:val="20"/>
          <w:szCs w:val="20"/>
        </w:rPr>
        <w:tab/>
      </w:r>
    </w:p>
    <w:p w:rsidR="0058735B" w:rsidRPr="00F36428" w:rsidRDefault="0058735B" w:rsidP="0058735B">
      <w:pPr>
        <w:spacing w:after="0"/>
        <w:rPr>
          <w:rFonts w:ascii="Cambria" w:hAnsi="Cambria" w:cs="Times New Roman"/>
          <w:sz w:val="20"/>
          <w:szCs w:val="20"/>
        </w:rPr>
      </w:pPr>
      <w:r w:rsidRPr="00F36428">
        <w:rPr>
          <w:rFonts w:ascii="Cambria" w:hAnsi="Cambria" w:cs="Times New Roman"/>
          <w:sz w:val="20"/>
          <w:szCs w:val="20"/>
        </w:rPr>
        <w:tab/>
      </w:r>
      <w:r w:rsidRPr="00F36428">
        <w:rPr>
          <w:rFonts w:ascii="Cambria" w:hAnsi="Cambria" w:cs="Times New Roman"/>
          <w:sz w:val="20"/>
          <w:szCs w:val="20"/>
        </w:rPr>
        <w:tab/>
      </w:r>
      <w:proofErr w:type="gramStart"/>
      <w:r w:rsidRPr="00F36428">
        <w:rPr>
          <w:rFonts w:ascii="Cambria" w:hAnsi="Cambria" w:cs="Times New Roman"/>
          <w:sz w:val="20"/>
          <w:szCs w:val="20"/>
        </w:rPr>
        <w:t>10%</w:t>
      </w:r>
      <w:proofErr w:type="gramEnd"/>
      <w:r w:rsidRPr="00F36428">
        <w:rPr>
          <w:rFonts w:ascii="Cambria" w:hAnsi="Cambria" w:cs="Times New Roman"/>
          <w:sz w:val="20"/>
          <w:szCs w:val="20"/>
        </w:rPr>
        <w:t xml:space="preserve"> Discount on Product Purchases</w:t>
      </w:r>
      <w:r w:rsidRPr="00F36428">
        <w:rPr>
          <w:rFonts w:ascii="Cambria" w:hAnsi="Cambria" w:cs="Times New Roman"/>
          <w:sz w:val="20"/>
          <w:szCs w:val="20"/>
        </w:rPr>
        <w:tab/>
      </w:r>
      <w:r w:rsidRPr="00F36428">
        <w:rPr>
          <w:rFonts w:ascii="Cambria" w:hAnsi="Cambria" w:cs="Times New Roman"/>
          <w:sz w:val="20"/>
          <w:szCs w:val="20"/>
        </w:rPr>
        <w:tab/>
      </w:r>
      <w:r w:rsidRPr="00F36428">
        <w:rPr>
          <w:rFonts w:ascii="Cambria" w:hAnsi="Cambria" w:cs="Times New Roman"/>
          <w:sz w:val="20"/>
          <w:szCs w:val="20"/>
        </w:rPr>
        <w:tab/>
      </w:r>
      <w:r w:rsidRPr="00F36428">
        <w:rPr>
          <w:rFonts w:ascii="Cambria" w:hAnsi="Cambria" w:cs="Times New Roman"/>
          <w:sz w:val="20"/>
          <w:szCs w:val="20"/>
        </w:rPr>
        <w:tab/>
      </w:r>
      <w:r w:rsidRPr="00F36428">
        <w:rPr>
          <w:rFonts w:ascii="Cambria" w:hAnsi="Cambria" w:cs="Times New Roman"/>
          <w:sz w:val="20"/>
          <w:szCs w:val="20"/>
        </w:rPr>
        <w:tab/>
      </w:r>
      <w:r w:rsidRPr="00F36428">
        <w:rPr>
          <w:rFonts w:ascii="Cambria" w:hAnsi="Cambria" w:cs="Times New Roman"/>
          <w:sz w:val="20"/>
          <w:szCs w:val="20"/>
        </w:rPr>
        <w:tab/>
      </w:r>
      <w:r w:rsidRPr="00F36428">
        <w:rPr>
          <w:rFonts w:ascii="Cambria" w:hAnsi="Cambria" w:cs="Times New Roman"/>
          <w:sz w:val="20"/>
          <w:szCs w:val="20"/>
        </w:rPr>
        <w:tab/>
      </w:r>
    </w:p>
    <w:p w:rsidR="0058735B" w:rsidRPr="00F36428" w:rsidRDefault="0058735B" w:rsidP="0058735B">
      <w:pPr>
        <w:spacing w:after="0"/>
        <w:rPr>
          <w:rFonts w:ascii="Cambria" w:hAnsi="Cambria" w:cs="Times New Roman"/>
          <w:sz w:val="20"/>
          <w:szCs w:val="20"/>
        </w:rPr>
      </w:pPr>
      <w:r w:rsidRPr="00F36428">
        <w:rPr>
          <w:rFonts w:ascii="Cambria" w:hAnsi="Cambria" w:cs="Times New Roman"/>
          <w:sz w:val="20"/>
          <w:szCs w:val="20"/>
        </w:rPr>
        <w:tab/>
      </w:r>
      <w:r w:rsidRPr="00F36428">
        <w:rPr>
          <w:rFonts w:ascii="Cambria" w:hAnsi="Cambria" w:cs="Times New Roman"/>
          <w:sz w:val="20"/>
          <w:szCs w:val="20"/>
        </w:rPr>
        <w:tab/>
        <w:t>Receive Product Re</w:t>
      </w:r>
      <w:r w:rsidR="0014466D">
        <w:rPr>
          <w:rFonts w:ascii="Cambria" w:hAnsi="Cambria" w:cs="Times New Roman"/>
          <w:sz w:val="20"/>
          <w:szCs w:val="20"/>
        </w:rPr>
        <w:t xml:space="preserve">wards </w:t>
      </w:r>
    </w:p>
    <w:p w:rsidR="0058735B" w:rsidRPr="00F36428" w:rsidRDefault="0058735B" w:rsidP="0058735B">
      <w:pPr>
        <w:rPr>
          <w:rFonts w:ascii="Cambria" w:hAnsi="Cambria" w:cs="Times New Roman"/>
          <w:sz w:val="20"/>
          <w:szCs w:val="20"/>
        </w:rPr>
      </w:pPr>
      <w:r w:rsidRPr="00F36428">
        <w:rPr>
          <w:rFonts w:ascii="Cambria" w:hAnsi="Cambria" w:cs="Times New Roman"/>
          <w:sz w:val="20"/>
          <w:szCs w:val="20"/>
        </w:rPr>
        <w:tab/>
      </w:r>
      <w:r w:rsidRPr="00F36428">
        <w:rPr>
          <w:rFonts w:ascii="Cambria" w:hAnsi="Cambria" w:cs="Times New Roman"/>
          <w:sz w:val="20"/>
          <w:szCs w:val="20"/>
        </w:rPr>
        <w:tab/>
        <w:t>Shipping Discounts</w:t>
      </w:r>
    </w:p>
    <w:p w:rsidR="0058735B" w:rsidRPr="00F36428" w:rsidRDefault="0058735B" w:rsidP="00F36428">
      <w:pPr>
        <w:pBdr>
          <w:bottom w:val="single" w:sz="4" w:space="1" w:color="auto"/>
        </w:pBdr>
        <w:rPr>
          <w:rFonts w:ascii="Cambria" w:hAnsi="Cambria" w:cs="Times New Roman"/>
          <w:b/>
          <w:sz w:val="20"/>
          <w:szCs w:val="20"/>
        </w:rPr>
      </w:pPr>
      <w:r w:rsidRPr="00F36428">
        <w:rPr>
          <w:rFonts w:ascii="Cambria" w:hAnsi="Cambria" w:cs="Times New Roman"/>
          <w:b/>
          <w:sz w:val="20"/>
          <w:szCs w:val="20"/>
        </w:rPr>
        <w:t>Active Distributors with Downline Distributors</w:t>
      </w:r>
      <w:r w:rsidRPr="00F36428">
        <w:rPr>
          <w:rFonts w:ascii="Cambria" w:hAnsi="Cambria" w:cs="Times New Roman"/>
          <w:b/>
          <w:sz w:val="20"/>
          <w:szCs w:val="20"/>
        </w:rPr>
        <w:tab/>
      </w:r>
      <w:r w:rsidRPr="00F36428">
        <w:rPr>
          <w:rFonts w:ascii="Cambria" w:hAnsi="Cambria" w:cs="Times New Roman"/>
          <w:b/>
          <w:sz w:val="20"/>
          <w:szCs w:val="20"/>
        </w:rPr>
        <w:tab/>
      </w:r>
      <w:r w:rsidRPr="00F36428">
        <w:rPr>
          <w:rFonts w:ascii="Cambria" w:hAnsi="Cambria" w:cs="Times New Roman"/>
          <w:b/>
          <w:sz w:val="20"/>
          <w:szCs w:val="20"/>
        </w:rPr>
        <w:tab/>
      </w:r>
      <w:r w:rsidRPr="00F36428">
        <w:rPr>
          <w:rFonts w:ascii="Cambria" w:hAnsi="Cambria" w:cs="Times New Roman"/>
          <w:b/>
          <w:sz w:val="20"/>
          <w:szCs w:val="20"/>
        </w:rPr>
        <w:tab/>
      </w:r>
      <w:r w:rsidRPr="00F36428">
        <w:rPr>
          <w:rFonts w:ascii="Cambria" w:hAnsi="Cambria" w:cs="Times New Roman"/>
          <w:b/>
          <w:sz w:val="20"/>
          <w:szCs w:val="20"/>
        </w:rPr>
        <w:tab/>
      </w:r>
      <w:r w:rsidR="00FB1B65">
        <w:rPr>
          <w:rFonts w:ascii="Cambria" w:hAnsi="Cambria" w:cs="Times New Roman"/>
          <w:b/>
          <w:sz w:val="20"/>
          <w:szCs w:val="20"/>
        </w:rPr>
        <w:t>54.72</w:t>
      </w:r>
      <w:r w:rsidRPr="00F36428">
        <w:rPr>
          <w:rFonts w:ascii="Cambria" w:hAnsi="Cambria" w:cs="Times New Roman"/>
          <w:b/>
          <w:sz w:val="20"/>
          <w:szCs w:val="20"/>
        </w:rPr>
        <w:t>%</w:t>
      </w:r>
      <w:r w:rsidRPr="00F36428">
        <w:rPr>
          <w:rFonts w:ascii="Cambria" w:hAnsi="Cambria" w:cs="Times New Roman"/>
          <w:b/>
          <w:sz w:val="20"/>
          <w:szCs w:val="20"/>
        </w:rPr>
        <w:tab/>
      </w:r>
    </w:p>
    <w:p w:rsidR="0058735B" w:rsidRPr="00F36428" w:rsidRDefault="0058735B" w:rsidP="0058735B">
      <w:pPr>
        <w:rPr>
          <w:rFonts w:ascii="Cambria" w:hAnsi="Cambria" w:cs="Times New Roman"/>
          <w:sz w:val="20"/>
          <w:szCs w:val="20"/>
        </w:rPr>
      </w:pPr>
      <w:r w:rsidRPr="00F36428">
        <w:rPr>
          <w:rFonts w:ascii="Cambria" w:hAnsi="Cambria" w:cs="Times New Roman"/>
          <w:sz w:val="20"/>
          <w:szCs w:val="20"/>
        </w:rPr>
        <w:t>When Active Distributors have Distributors in their downline organization, they have the opportunity to earn commissions and bonuses on the sales of products that occur in the downline organization.</w:t>
      </w:r>
      <w:r w:rsidRPr="00F36428">
        <w:rPr>
          <w:rFonts w:ascii="Cambria" w:hAnsi="Cambria" w:cs="Times New Roman"/>
          <w:sz w:val="20"/>
          <w:szCs w:val="20"/>
        </w:rPr>
        <w:tab/>
      </w:r>
      <w:r w:rsidRPr="00F36428">
        <w:rPr>
          <w:rFonts w:ascii="Cambria" w:hAnsi="Cambria" w:cs="Times New Roman"/>
          <w:sz w:val="20"/>
          <w:szCs w:val="20"/>
        </w:rPr>
        <w:tab/>
      </w:r>
      <w:r w:rsidRPr="00F36428">
        <w:rPr>
          <w:rFonts w:ascii="Cambria" w:hAnsi="Cambria" w:cs="Times New Roman"/>
          <w:sz w:val="20"/>
          <w:szCs w:val="20"/>
        </w:rPr>
        <w:tab/>
      </w:r>
    </w:p>
    <w:p w:rsidR="00F36428" w:rsidRDefault="00F36428">
      <w:pPr>
        <w:rPr>
          <w:rFonts w:ascii="Cambria" w:hAnsi="Cambria" w:cs="Times New Roman"/>
          <w:sz w:val="20"/>
          <w:szCs w:val="20"/>
        </w:rPr>
      </w:pPr>
      <w:r>
        <w:rPr>
          <w:rFonts w:ascii="Cambria" w:hAnsi="Cambria" w:cs="Times New Roman"/>
          <w:sz w:val="20"/>
          <w:szCs w:val="20"/>
        </w:rPr>
        <w:br w:type="page"/>
      </w:r>
    </w:p>
    <w:p w:rsidR="0058735B" w:rsidRPr="0058735B" w:rsidRDefault="0058735B" w:rsidP="0058735B">
      <w:pPr>
        <w:rPr>
          <w:rFonts w:ascii="Times New Roman" w:hAnsi="Times New Roman" w:cs="Times New Roman"/>
          <w:sz w:val="20"/>
          <w:szCs w:val="20"/>
        </w:rPr>
      </w:pPr>
      <w:r w:rsidRPr="00F36428">
        <w:rPr>
          <w:rFonts w:ascii="Cambria" w:hAnsi="Cambria" w:cs="Times New Roman"/>
          <w:sz w:val="20"/>
          <w:szCs w:val="20"/>
        </w:rPr>
        <w:lastRenderedPageBreak/>
        <w:t xml:space="preserve">The information below </w:t>
      </w:r>
      <w:proofErr w:type="gramStart"/>
      <w:r w:rsidRPr="00F36428">
        <w:rPr>
          <w:rFonts w:ascii="Cambria" w:hAnsi="Cambria" w:cs="Times New Roman"/>
          <w:sz w:val="20"/>
          <w:szCs w:val="20"/>
        </w:rPr>
        <w:t>is presented</w:t>
      </w:r>
      <w:proofErr w:type="gramEnd"/>
      <w:r w:rsidRPr="00F36428">
        <w:rPr>
          <w:rFonts w:ascii="Cambria" w:hAnsi="Cambria" w:cs="Times New Roman"/>
          <w:sz w:val="20"/>
          <w:szCs w:val="20"/>
        </w:rPr>
        <w:t xml:space="preserve"> to help people make an informed decision when they consider joining E. EXCEL North America as a Distributor. The amounts shown do not include any retail profits. The compensation received by our Distributors, as shown in the chart, are not necessarily representative of the income that a Distributor can and will earn through our compensation plan. An individual's success will result from product sales within his or her organization, his or her work effort, diligence, and leadership. </w:t>
      </w:r>
      <w:r w:rsidRPr="00F36428">
        <w:rPr>
          <w:rFonts w:ascii="Cambria" w:hAnsi="Cambria" w:cs="Times New Roman"/>
          <w:sz w:val="20"/>
          <w:szCs w:val="20"/>
        </w:rPr>
        <w:tab/>
      </w:r>
      <w:r w:rsidRPr="0058735B">
        <w:rPr>
          <w:rFonts w:ascii="Times New Roman" w:hAnsi="Times New Roman" w:cs="Times New Roman"/>
          <w:sz w:val="20"/>
          <w:szCs w:val="20"/>
        </w:rPr>
        <w:tab/>
      </w:r>
      <w:r w:rsidRPr="0058735B">
        <w:rPr>
          <w:rFonts w:ascii="Times New Roman" w:hAnsi="Times New Roman" w:cs="Times New Roman"/>
          <w:sz w:val="20"/>
          <w:szCs w:val="20"/>
        </w:rPr>
        <w:tab/>
      </w:r>
      <w:r w:rsidRPr="0058735B">
        <w:rPr>
          <w:rFonts w:ascii="Times New Roman" w:hAnsi="Times New Roman" w:cs="Times New Roman"/>
          <w:sz w:val="20"/>
          <w:szCs w:val="20"/>
        </w:rPr>
        <w:tab/>
      </w:r>
      <w:r w:rsidRPr="0058735B">
        <w:rPr>
          <w:rFonts w:ascii="Times New Roman" w:hAnsi="Times New Roman" w:cs="Times New Roman"/>
          <w:sz w:val="20"/>
          <w:szCs w:val="20"/>
        </w:rPr>
        <w:tab/>
      </w:r>
      <w:r w:rsidRPr="0058735B">
        <w:rPr>
          <w:rFonts w:ascii="Times New Roman" w:hAnsi="Times New Roman" w:cs="Times New Roman"/>
          <w:sz w:val="20"/>
          <w:szCs w:val="20"/>
        </w:rPr>
        <w:tab/>
      </w:r>
      <w:r w:rsidRPr="0058735B">
        <w:rPr>
          <w:rFonts w:ascii="Times New Roman" w:hAnsi="Times New Roman" w:cs="Times New Roman"/>
          <w:sz w:val="20"/>
          <w:szCs w:val="20"/>
        </w:rPr>
        <w:tab/>
      </w:r>
      <w:r w:rsidRPr="0058735B">
        <w:rPr>
          <w:rFonts w:ascii="Times New Roman" w:hAnsi="Times New Roman" w:cs="Times New Roman"/>
          <w:sz w:val="20"/>
          <w:szCs w:val="20"/>
        </w:rPr>
        <w:tab/>
      </w:r>
    </w:p>
    <w:p w:rsidR="0058735B" w:rsidRPr="00F36428" w:rsidRDefault="0045618E" w:rsidP="0045618E">
      <w:pPr>
        <w:jc w:val="center"/>
        <w:rPr>
          <w:rFonts w:asciiTheme="majorHAnsi" w:hAnsiTheme="majorHAnsi" w:cs="Times New Roman"/>
          <w:b/>
          <w:sz w:val="24"/>
          <w:szCs w:val="24"/>
        </w:rPr>
      </w:pPr>
      <w:r w:rsidRPr="00F36428">
        <w:rPr>
          <w:rFonts w:asciiTheme="majorHAnsi" w:hAnsiTheme="majorHAnsi" w:cs="Times New Roman"/>
          <w:b/>
          <w:sz w:val="24"/>
          <w:szCs w:val="24"/>
        </w:rPr>
        <w:t>Multi-Level Compensation for Product Sales in Downline</w:t>
      </w:r>
    </w:p>
    <w:tbl>
      <w:tblPr>
        <w:tblW w:w="825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5"/>
        <w:gridCol w:w="1530"/>
        <w:gridCol w:w="2520"/>
        <w:gridCol w:w="2038"/>
      </w:tblGrid>
      <w:tr w:rsidR="00BD58D3" w:rsidRPr="00BD58D3" w:rsidTr="007424E1">
        <w:trPr>
          <w:trHeight w:val="450"/>
          <w:jc w:val="center"/>
        </w:trPr>
        <w:tc>
          <w:tcPr>
            <w:tcW w:w="8253" w:type="dxa"/>
            <w:gridSpan w:val="4"/>
            <w:shd w:val="clear" w:color="auto" w:fill="auto"/>
            <w:noWrap/>
            <w:vAlign w:val="center"/>
            <w:hideMark/>
          </w:tcPr>
          <w:p w:rsidR="00BD58D3" w:rsidRPr="00BD58D3" w:rsidRDefault="00BD58D3" w:rsidP="00BD58D3">
            <w:pPr>
              <w:spacing w:after="0" w:line="240" w:lineRule="auto"/>
              <w:jc w:val="center"/>
              <w:rPr>
                <w:rFonts w:eastAsia="Times New Roman" w:cs="Times New Roman"/>
                <w:b/>
                <w:sz w:val="20"/>
                <w:szCs w:val="20"/>
              </w:rPr>
            </w:pPr>
            <w:r w:rsidRPr="00BD58D3">
              <w:rPr>
                <w:rFonts w:eastAsia="Times New Roman" w:cs="Times New Roman"/>
                <w:b/>
                <w:sz w:val="20"/>
                <w:szCs w:val="20"/>
              </w:rPr>
              <w:t>Active Distributors in North America With a Downline</w:t>
            </w:r>
          </w:p>
        </w:tc>
      </w:tr>
      <w:tr w:rsidR="00BD58D3" w:rsidRPr="00BD58D3" w:rsidTr="007424E1">
        <w:trPr>
          <w:trHeight w:val="441"/>
          <w:jc w:val="center"/>
        </w:trPr>
        <w:tc>
          <w:tcPr>
            <w:tcW w:w="2165" w:type="dxa"/>
            <w:shd w:val="clear" w:color="auto" w:fill="auto"/>
            <w:vAlign w:val="bottom"/>
            <w:hideMark/>
          </w:tcPr>
          <w:p w:rsidR="00BD58D3" w:rsidRPr="00BD58D3" w:rsidRDefault="00BD58D3" w:rsidP="00BD58D3">
            <w:pPr>
              <w:spacing w:after="0" w:line="240" w:lineRule="auto"/>
              <w:jc w:val="center"/>
              <w:rPr>
                <w:rFonts w:eastAsia="Times New Roman" w:cs="Times New Roman"/>
                <w:b/>
                <w:sz w:val="20"/>
                <w:szCs w:val="20"/>
              </w:rPr>
            </w:pPr>
            <w:r w:rsidRPr="00BD58D3">
              <w:rPr>
                <w:rFonts w:eastAsia="Times New Roman" w:cs="Times New Roman"/>
                <w:b/>
                <w:sz w:val="20"/>
                <w:szCs w:val="20"/>
              </w:rPr>
              <w:t>Annual Commissions</w:t>
            </w:r>
          </w:p>
        </w:tc>
        <w:tc>
          <w:tcPr>
            <w:tcW w:w="1530" w:type="dxa"/>
            <w:shd w:val="clear" w:color="auto" w:fill="auto"/>
            <w:vAlign w:val="bottom"/>
            <w:hideMark/>
          </w:tcPr>
          <w:p w:rsidR="00BD58D3" w:rsidRPr="00BD58D3" w:rsidRDefault="00BD58D3" w:rsidP="00BD58D3">
            <w:pPr>
              <w:spacing w:after="0" w:line="240" w:lineRule="auto"/>
              <w:jc w:val="center"/>
              <w:rPr>
                <w:rFonts w:eastAsia="Times New Roman" w:cs="Times New Roman"/>
                <w:b/>
                <w:sz w:val="20"/>
                <w:szCs w:val="20"/>
              </w:rPr>
            </w:pPr>
            <w:r w:rsidRPr="00BD58D3">
              <w:rPr>
                <w:rFonts w:eastAsia="Times New Roman" w:cs="Times New Roman"/>
                <w:b/>
                <w:sz w:val="20"/>
                <w:szCs w:val="20"/>
              </w:rPr>
              <w:t>% of Group</w:t>
            </w:r>
          </w:p>
        </w:tc>
        <w:tc>
          <w:tcPr>
            <w:tcW w:w="2520" w:type="dxa"/>
            <w:shd w:val="clear" w:color="auto" w:fill="auto"/>
            <w:vAlign w:val="bottom"/>
            <w:hideMark/>
          </w:tcPr>
          <w:p w:rsidR="00BD58D3" w:rsidRPr="00BD58D3" w:rsidRDefault="00BD58D3" w:rsidP="00BD58D3">
            <w:pPr>
              <w:spacing w:after="0" w:line="240" w:lineRule="auto"/>
              <w:jc w:val="center"/>
              <w:rPr>
                <w:rFonts w:eastAsia="Times New Roman" w:cs="Times New Roman"/>
                <w:b/>
                <w:sz w:val="20"/>
                <w:szCs w:val="20"/>
              </w:rPr>
            </w:pPr>
            <w:r w:rsidRPr="00BD58D3">
              <w:rPr>
                <w:rFonts w:eastAsia="Times New Roman" w:cs="Times New Roman"/>
                <w:b/>
                <w:sz w:val="20"/>
                <w:szCs w:val="20"/>
              </w:rPr>
              <w:t>Average Commissions *</w:t>
            </w:r>
          </w:p>
        </w:tc>
        <w:tc>
          <w:tcPr>
            <w:tcW w:w="2038" w:type="dxa"/>
            <w:vMerge w:val="restart"/>
            <w:shd w:val="clear" w:color="auto" w:fill="auto"/>
            <w:vAlign w:val="center"/>
            <w:hideMark/>
          </w:tcPr>
          <w:p w:rsidR="00BD58D3" w:rsidRPr="00BD58D3" w:rsidRDefault="00BD58D3" w:rsidP="00BD58D3">
            <w:pPr>
              <w:spacing w:after="0" w:line="240" w:lineRule="auto"/>
              <w:jc w:val="center"/>
              <w:rPr>
                <w:rFonts w:eastAsia="Times New Roman" w:cs="Times New Roman"/>
                <w:sz w:val="20"/>
                <w:szCs w:val="20"/>
              </w:rPr>
            </w:pPr>
            <w:r w:rsidRPr="00BD58D3">
              <w:rPr>
                <w:rFonts w:eastAsia="Times New Roman" w:cs="Times New Roman"/>
                <w:sz w:val="20"/>
                <w:szCs w:val="20"/>
              </w:rPr>
              <w:t>These amounts do not include profits earned by Distributors on sales to non-Distributors</w:t>
            </w:r>
          </w:p>
        </w:tc>
      </w:tr>
      <w:tr w:rsidR="00BD58D3" w:rsidRPr="00BD58D3" w:rsidTr="007424E1">
        <w:trPr>
          <w:trHeight w:val="351"/>
          <w:jc w:val="center"/>
        </w:trPr>
        <w:tc>
          <w:tcPr>
            <w:tcW w:w="2165"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Greater than $100,001</w:t>
            </w:r>
          </w:p>
        </w:tc>
        <w:tc>
          <w:tcPr>
            <w:tcW w:w="1530"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0.23%</w:t>
            </w:r>
          </w:p>
        </w:tc>
        <w:tc>
          <w:tcPr>
            <w:tcW w:w="2520" w:type="dxa"/>
            <w:shd w:val="clear" w:color="auto" w:fill="auto"/>
            <w:noWrap/>
            <w:vAlign w:val="center"/>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&gt; $200,000.00</w:t>
            </w:r>
          </w:p>
        </w:tc>
        <w:tc>
          <w:tcPr>
            <w:tcW w:w="2038" w:type="dxa"/>
            <w:vMerge/>
            <w:shd w:val="clear" w:color="auto" w:fill="auto"/>
            <w:vAlign w:val="bottom"/>
            <w:hideMark/>
          </w:tcPr>
          <w:p w:rsidR="00BD58D3" w:rsidRPr="00BD58D3" w:rsidRDefault="00BD58D3" w:rsidP="00BD58D3">
            <w:pPr>
              <w:spacing w:after="0" w:line="240" w:lineRule="auto"/>
              <w:jc w:val="center"/>
              <w:rPr>
                <w:rFonts w:eastAsia="Times New Roman" w:cs="Times New Roman"/>
                <w:sz w:val="20"/>
                <w:szCs w:val="20"/>
              </w:rPr>
            </w:pPr>
          </w:p>
        </w:tc>
      </w:tr>
      <w:tr w:rsidR="00BD58D3" w:rsidRPr="00BD58D3" w:rsidTr="007424E1">
        <w:trPr>
          <w:trHeight w:val="360"/>
          <w:jc w:val="center"/>
        </w:trPr>
        <w:tc>
          <w:tcPr>
            <w:tcW w:w="2165"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$50,001 - $100,000</w:t>
            </w:r>
          </w:p>
        </w:tc>
        <w:tc>
          <w:tcPr>
            <w:tcW w:w="1530"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0.69%</w:t>
            </w:r>
          </w:p>
        </w:tc>
        <w:tc>
          <w:tcPr>
            <w:tcW w:w="2520" w:type="dxa"/>
            <w:shd w:val="clear" w:color="auto" w:fill="auto"/>
            <w:noWrap/>
            <w:vAlign w:val="bottom"/>
            <w:hideMark/>
          </w:tcPr>
          <w:p w:rsidR="00BD58D3" w:rsidRPr="00BD58D3" w:rsidRDefault="0014466D" w:rsidP="00BD58D3">
            <w:pPr>
              <w:spacing w:after="0" w:line="240" w:lineRule="auto"/>
              <w:jc w:val="right"/>
              <w:rPr>
                <w:rFonts w:eastAsia="Times New Roman" w:cs="Times New Roman"/>
                <w:sz w:val="20"/>
                <w:szCs w:val="20"/>
              </w:rPr>
            </w:pPr>
            <w:r>
              <w:rPr>
                <w:rFonts w:eastAsia="Times New Roman" w:cs="Times New Roman"/>
                <w:sz w:val="20"/>
                <w:szCs w:val="20"/>
              </w:rPr>
              <w:t>$74,118.00</w:t>
            </w:r>
            <w:r w:rsidR="00BD58D3" w:rsidRPr="00BD58D3">
              <w:rPr>
                <w:rFonts w:eastAsia="Times New Roman" w:cs="Times New Roman"/>
                <w:sz w:val="20"/>
                <w:szCs w:val="20"/>
              </w:rPr>
              <w:t xml:space="preserve"> </w:t>
            </w:r>
          </w:p>
        </w:tc>
        <w:tc>
          <w:tcPr>
            <w:tcW w:w="2038" w:type="dxa"/>
            <w:vMerge/>
            <w:vAlign w:val="center"/>
            <w:hideMark/>
          </w:tcPr>
          <w:p w:rsidR="00BD58D3" w:rsidRPr="00BD58D3" w:rsidRDefault="00BD58D3" w:rsidP="00BD58D3">
            <w:pPr>
              <w:spacing w:after="0" w:line="240" w:lineRule="auto"/>
              <w:rPr>
                <w:rFonts w:eastAsia="Times New Roman" w:cs="Times New Roman"/>
                <w:sz w:val="20"/>
                <w:szCs w:val="20"/>
              </w:rPr>
            </w:pPr>
          </w:p>
        </w:tc>
      </w:tr>
      <w:tr w:rsidR="00BD58D3" w:rsidRPr="00BD58D3" w:rsidTr="007424E1">
        <w:trPr>
          <w:trHeight w:val="360"/>
          <w:jc w:val="center"/>
        </w:trPr>
        <w:tc>
          <w:tcPr>
            <w:tcW w:w="2165"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$25,001 - $50,000</w:t>
            </w:r>
          </w:p>
        </w:tc>
        <w:tc>
          <w:tcPr>
            <w:tcW w:w="1530"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1.36%</w:t>
            </w:r>
          </w:p>
        </w:tc>
        <w:tc>
          <w:tcPr>
            <w:tcW w:w="2520" w:type="dxa"/>
            <w:shd w:val="clear" w:color="auto" w:fill="auto"/>
            <w:noWrap/>
            <w:vAlign w:val="bottom"/>
            <w:hideMark/>
          </w:tcPr>
          <w:p w:rsidR="00BD58D3" w:rsidRPr="00BD58D3" w:rsidRDefault="0014466D" w:rsidP="00BD58D3">
            <w:pPr>
              <w:spacing w:after="0" w:line="240" w:lineRule="auto"/>
              <w:jc w:val="right"/>
              <w:rPr>
                <w:rFonts w:eastAsia="Times New Roman" w:cs="Times New Roman"/>
                <w:sz w:val="20"/>
                <w:szCs w:val="20"/>
              </w:rPr>
            </w:pPr>
            <w:r>
              <w:rPr>
                <w:rFonts w:eastAsia="Times New Roman" w:cs="Times New Roman"/>
                <w:sz w:val="20"/>
                <w:szCs w:val="20"/>
              </w:rPr>
              <w:t>$35,712.00</w:t>
            </w:r>
            <w:r w:rsidR="00BD58D3" w:rsidRPr="00BD58D3">
              <w:rPr>
                <w:rFonts w:eastAsia="Times New Roman" w:cs="Times New Roman"/>
                <w:sz w:val="20"/>
                <w:szCs w:val="20"/>
              </w:rPr>
              <w:t xml:space="preserve"> </w:t>
            </w:r>
          </w:p>
        </w:tc>
        <w:tc>
          <w:tcPr>
            <w:tcW w:w="2038" w:type="dxa"/>
            <w:vMerge/>
            <w:vAlign w:val="center"/>
            <w:hideMark/>
          </w:tcPr>
          <w:p w:rsidR="00BD58D3" w:rsidRPr="00BD58D3" w:rsidRDefault="00BD58D3" w:rsidP="00BD58D3">
            <w:pPr>
              <w:spacing w:after="0" w:line="240" w:lineRule="auto"/>
              <w:rPr>
                <w:rFonts w:eastAsia="Times New Roman" w:cs="Times New Roman"/>
                <w:sz w:val="20"/>
                <w:szCs w:val="20"/>
              </w:rPr>
            </w:pPr>
          </w:p>
        </w:tc>
      </w:tr>
      <w:tr w:rsidR="00BD58D3" w:rsidRPr="00BD58D3" w:rsidTr="007424E1">
        <w:trPr>
          <w:trHeight w:val="360"/>
          <w:jc w:val="center"/>
        </w:trPr>
        <w:tc>
          <w:tcPr>
            <w:tcW w:w="2165"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$15,001 - $25,000</w:t>
            </w:r>
          </w:p>
        </w:tc>
        <w:tc>
          <w:tcPr>
            <w:tcW w:w="1530"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1.52%</w:t>
            </w:r>
          </w:p>
        </w:tc>
        <w:tc>
          <w:tcPr>
            <w:tcW w:w="2520" w:type="dxa"/>
            <w:shd w:val="clear" w:color="auto" w:fill="auto"/>
            <w:noWrap/>
            <w:vAlign w:val="bottom"/>
            <w:hideMark/>
          </w:tcPr>
          <w:p w:rsidR="00BD58D3" w:rsidRPr="00BD58D3" w:rsidRDefault="0014466D" w:rsidP="00BD58D3">
            <w:pPr>
              <w:spacing w:after="0" w:line="240" w:lineRule="auto"/>
              <w:jc w:val="right"/>
              <w:rPr>
                <w:rFonts w:eastAsia="Times New Roman" w:cs="Times New Roman"/>
                <w:sz w:val="20"/>
                <w:szCs w:val="20"/>
              </w:rPr>
            </w:pPr>
            <w:r>
              <w:rPr>
                <w:rFonts w:eastAsia="Times New Roman" w:cs="Times New Roman"/>
                <w:sz w:val="20"/>
                <w:szCs w:val="20"/>
              </w:rPr>
              <w:t>$19,381.00</w:t>
            </w:r>
            <w:r w:rsidR="00BD58D3" w:rsidRPr="00BD58D3">
              <w:rPr>
                <w:rFonts w:eastAsia="Times New Roman" w:cs="Times New Roman"/>
                <w:sz w:val="20"/>
                <w:szCs w:val="20"/>
              </w:rPr>
              <w:t xml:space="preserve"> </w:t>
            </w:r>
          </w:p>
        </w:tc>
        <w:tc>
          <w:tcPr>
            <w:tcW w:w="2038" w:type="dxa"/>
            <w:vMerge/>
            <w:vAlign w:val="center"/>
            <w:hideMark/>
          </w:tcPr>
          <w:p w:rsidR="00BD58D3" w:rsidRPr="00BD58D3" w:rsidRDefault="00BD58D3" w:rsidP="00BD58D3">
            <w:pPr>
              <w:spacing w:after="0" w:line="240" w:lineRule="auto"/>
              <w:rPr>
                <w:rFonts w:eastAsia="Times New Roman" w:cs="Times New Roman"/>
                <w:sz w:val="20"/>
                <w:szCs w:val="20"/>
              </w:rPr>
            </w:pPr>
          </w:p>
        </w:tc>
      </w:tr>
      <w:tr w:rsidR="00BD58D3" w:rsidRPr="00BD58D3" w:rsidTr="007424E1">
        <w:trPr>
          <w:trHeight w:val="360"/>
          <w:jc w:val="center"/>
        </w:trPr>
        <w:tc>
          <w:tcPr>
            <w:tcW w:w="2165"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$10,001 - $15,000</w:t>
            </w:r>
          </w:p>
        </w:tc>
        <w:tc>
          <w:tcPr>
            <w:tcW w:w="1530"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1.26%</w:t>
            </w:r>
          </w:p>
        </w:tc>
        <w:tc>
          <w:tcPr>
            <w:tcW w:w="2520" w:type="dxa"/>
            <w:shd w:val="clear" w:color="auto" w:fill="auto"/>
            <w:noWrap/>
            <w:vAlign w:val="bottom"/>
            <w:hideMark/>
          </w:tcPr>
          <w:p w:rsidR="00BD58D3" w:rsidRPr="00BD58D3" w:rsidRDefault="0014466D" w:rsidP="00BD58D3">
            <w:pPr>
              <w:spacing w:after="0" w:line="240" w:lineRule="auto"/>
              <w:jc w:val="right"/>
              <w:rPr>
                <w:rFonts w:eastAsia="Times New Roman" w:cs="Times New Roman"/>
                <w:sz w:val="20"/>
                <w:szCs w:val="20"/>
              </w:rPr>
            </w:pPr>
            <w:r>
              <w:rPr>
                <w:rFonts w:eastAsia="Times New Roman" w:cs="Times New Roman"/>
                <w:sz w:val="20"/>
                <w:szCs w:val="20"/>
              </w:rPr>
              <w:t>$12,416.00</w:t>
            </w:r>
            <w:r w:rsidR="00BD58D3" w:rsidRPr="00BD58D3">
              <w:rPr>
                <w:rFonts w:eastAsia="Times New Roman" w:cs="Times New Roman"/>
                <w:sz w:val="20"/>
                <w:szCs w:val="20"/>
              </w:rPr>
              <w:t xml:space="preserve"> </w:t>
            </w:r>
          </w:p>
        </w:tc>
        <w:tc>
          <w:tcPr>
            <w:tcW w:w="2038" w:type="dxa"/>
            <w:vMerge/>
            <w:vAlign w:val="center"/>
            <w:hideMark/>
          </w:tcPr>
          <w:p w:rsidR="00BD58D3" w:rsidRPr="00BD58D3" w:rsidRDefault="00BD58D3" w:rsidP="00BD58D3">
            <w:pPr>
              <w:spacing w:after="0" w:line="240" w:lineRule="auto"/>
              <w:rPr>
                <w:rFonts w:eastAsia="Times New Roman" w:cs="Times New Roman"/>
                <w:sz w:val="20"/>
                <w:szCs w:val="20"/>
              </w:rPr>
            </w:pPr>
          </w:p>
        </w:tc>
      </w:tr>
      <w:tr w:rsidR="00BD58D3" w:rsidRPr="00BD58D3" w:rsidTr="007424E1">
        <w:trPr>
          <w:trHeight w:val="360"/>
          <w:jc w:val="center"/>
        </w:trPr>
        <w:tc>
          <w:tcPr>
            <w:tcW w:w="2165"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$5,001 - $10,000</w:t>
            </w:r>
          </w:p>
        </w:tc>
        <w:tc>
          <w:tcPr>
            <w:tcW w:w="1530"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3.37%</w:t>
            </w:r>
          </w:p>
        </w:tc>
        <w:tc>
          <w:tcPr>
            <w:tcW w:w="2520" w:type="dxa"/>
            <w:shd w:val="clear" w:color="auto" w:fill="auto"/>
            <w:noWrap/>
            <w:vAlign w:val="bottom"/>
            <w:hideMark/>
          </w:tcPr>
          <w:p w:rsidR="00BD58D3" w:rsidRPr="00BD58D3" w:rsidRDefault="0014466D" w:rsidP="00BD58D3">
            <w:pPr>
              <w:spacing w:after="0" w:line="240" w:lineRule="auto"/>
              <w:jc w:val="right"/>
              <w:rPr>
                <w:rFonts w:eastAsia="Times New Roman" w:cs="Times New Roman"/>
                <w:sz w:val="20"/>
                <w:szCs w:val="20"/>
              </w:rPr>
            </w:pPr>
            <w:r>
              <w:rPr>
                <w:rFonts w:eastAsia="Times New Roman" w:cs="Times New Roman"/>
                <w:sz w:val="20"/>
                <w:szCs w:val="20"/>
              </w:rPr>
              <w:t>$7,253.00</w:t>
            </w:r>
          </w:p>
        </w:tc>
        <w:tc>
          <w:tcPr>
            <w:tcW w:w="2038" w:type="dxa"/>
            <w:vMerge/>
            <w:vAlign w:val="center"/>
            <w:hideMark/>
          </w:tcPr>
          <w:p w:rsidR="00BD58D3" w:rsidRPr="00BD58D3" w:rsidRDefault="00BD58D3" w:rsidP="00BD58D3">
            <w:pPr>
              <w:spacing w:after="0" w:line="240" w:lineRule="auto"/>
              <w:rPr>
                <w:rFonts w:eastAsia="Times New Roman" w:cs="Times New Roman"/>
                <w:sz w:val="20"/>
                <w:szCs w:val="20"/>
              </w:rPr>
            </w:pPr>
          </w:p>
        </w:tc>
      </w:tr>
      <w:tr w:rsidR="00BD58D3" w:rsidRPr="00BD58D3" w:rsidTr="007424E1">
        <w:trPr>
          <w:trHeight w:val="360"/>
          <w:jc w:val="center"/>
        </w:trPr>
        <w:tc>
          <w:tcPr>
            <w:tcW w:w="2165"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$1,001 - $5,000</w:t>
            </w:r>
          </w:p>
        </w:tc>
        <w:tc>
          <w:tcPr>
            <w:tcW w:w="1530"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22.00%</w:t>
            </w:r>
          </w:p>
        </w:tc>
        <w:tc>
          <w:tcPr>
            <w:tcW w:w="2520" w:type="dxa"/>
            <w:shd w:val="clear" w:color="auto" w:fill="auto"/>
            <w:noWrap/>
            <w:vAlign w:val="bottom"/>
            <w:hideMark/>
          </w:tcPr>
          <w:p w:rsidR="00BD58D3" w:rsidRPr="00BD58D3" w:rsidRDefault="0014466D" w:rsidP="00BD58D3">
            <w:pPr>
              <w:spacing w:after="0" w:line="240" w:lineRule="auto"/>
              <w:jc w:val="right"/>
              <w:rPr>
                <w:rFonts w:eastAsia="Times New Roman" w:cs="Times New Roman"/>
                <w:sz w:val="20"/>
                <w:szCs w:val="20"/>
              </w:rPr>
            </w:pPr>
            <w:r>
              <w:rPr>
                <w:rFonts w:eastAsia="Times New Roman" w:cs="Times New Roman"/>
                <w:sz w:val="20"/>
                <w:szCs w:val="20"/>
              </w:rPr>
              <w:t>$2,234.00</w:t>
            </w:r>
          </w:p>
        </w:tc>
        <w:tc>
          <w:tcPr>
            <w:tcW w:w="2038" w:type="dxa"/>
            <w:vMerge/>
            <w:vAlign w:val="center"/>
            <w:hideMark/>
          </w:tcPr>
          <w:p w:rsidR="00BD58D3" w:rsidRPr="00BD58D3" w:rsidRDefault="00BD58D3" w:rsidP="00BD58D3">
            <w:pPr>
              <w:spacing w:after="0" w:line="240" w:lineRule="auto"/>
              <w:rPr>
                <w:rFonts w:eastAsia="Times New Roman" w:cs="Times New Roman"/>
                <w:sz w:val="20"/>
                <w:szCs w:val="20"/>
              </w:rPr>
            </w:pPr>
          </w:p>
        </w:tc>
      </w:tr>
      <w:tr w:rsidR="00BD58D3" w:rsidRPr="00BD58D3" w:rsidTr="007424E1">
        <w:trPr>
          <w:trHeight w:val="480"/>
          <w:jc w:val="center"/>
        </w:trPr>
        <w:tc>
          <w:tcPr>
            <w:tcW w:w="2165"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$0.01 - $1,000</w:t>
            </w:r>
          </w:p>
        </w:tc>
        <w:tc>
          <w:tcPr>
            <w:tcW w:w="1530"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64.54%</w:t>
            </w:r>
          </w:p>
        </w:tc>
        <w:tc>
          <w:tcPr>
            <w:tcW w:w="2520" w:type="dxa"/>
            <w:shd w:val="clear" w:color="auto" w:fill="auto"/>
            <w:noWrap/>
            <w:vAlign w:val="bottom"/>
            <w:hideMark/>
          </w:tcPr>
          <w:p w:rsidR="00BD58D3" w:rsidRPr="00BD58D3" w:rsidRDefault="0014466D" w:rsidP="00BD58D3">
            <w:pPr>
              <w:spacing w:after="0" w:line="240" w:lineRule="auto"/>
              <w:jc w:val="right"/>
              <w:rPr>
                <w:rFonts w:eastAsia="Times New Roman" w:cs="Times New Roman"/>
                <w:sz w:val="20"/>
                <w:szCs w:val="20"/>
              </w:rPr>
            </w:pPr>
            <w:r>
              <w:rPr>
                <w:rFonts w:eastAsia="Times New Roman" w:cs="Times New Roman"/>
                <w:sz w:val="20"/>
                <w:szCs w:val="20"/>
              </w:rPr>
              <w:t>$264.00</w:t>
            </w:r>
          </w:p>
        </w:tc>
        <w:tc>
          <w:tcPr>
            <w:tcW w:w="2038" w:type="dxa"/>
            <w:vMerge/>
            <w:vAlign w:val="center"/>
            <w:hideMark/>
          </w:tcPr>
          <w:p w:rsidR="00BD58D3" w:rsidRPr="00BD58D3" w:rsidRDefault="00BD58D3" w:rsidP="00BD58D3">
            <w:pPr>
              <w:spacing w:after="0" w:line="240" w:lineRule="auto"/>
              <w:rPr>
                <w:rFonts w:eastAsia="Times New Roman" w:cs="Times New Roman"/>
                <w:sz w:val="20"/>
                <w:szCs w:val="20"/>
              </w:rPr>
            </w:pPr>
          </w:p>
        </w:tc>
      </w:tr>
      <w:tr w:rsidR="00BD58D3" w:rsidRPr="00BD58D3" w:rsidTr="007424E1">
        <w:trPr>
          <w:trHeight w:val="360"/>
          <w:jc w:val="center"/>
        </w:trPr>
        <w:tc>
          <w:tcPr>
            <w:tcW w:w="2165"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$0.00</w:t>
            </w:r>
          </w:p>
        </w:tc>
        <w:tc>
          <w:tcPr>
            <w:tcW w:w="1530"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5.03%</w:t>
            </w:r>
          </w:p>
        </w:tc>
        <w:tc>
          <w:tcPr>
            <w:tcW w:w="2520" w:type="dxa"/>
            <w:shd w:val="clear" w:color="auto" w:fill="auto"/>
            <w:noWrap/>
            <w:vAlign w:val="bottom"/>
            <w:hideMark/>
          </w:tcPr>
          <w:p w:rsidR="00BD58D3" w:rsidRPr="00BD58D3" w:rsidRDefault="00BD58D3" w:rsidP="00BD58D3">
            <w:pPr>
              <w:spacing w:after="0" w:line="240" w:lineRule="auto"/>
              <w:jc w:val="right"/>
              <w:rPr>
                <w:rFonts w:eastAsia="Times New Roman" w:cs="Times New Roman"/>
                <w:sz w:val="20"/>
                <w:szCs w:val="20"/>
              </w:rPr>
            </w:pPr>
            <w:r w:rsidRPr="00BD58D3">
              <w:rPr>
                <w:rFonts w:eastAsia="Times New Roman" w:cs="Times New Roman"/>
                <w:sz w:val="20"/>
                <w:szCs w:val="20"/>
              </w:rPr>
              <w:t xml:space="preserve">$0.00 </w:t>
            </w:r>
          </w:p>
        </w:tc>
        <w:tc>
          <w:tcPr>
            <w:tcW w:w="2038" w:type="dxa"/>
            <w:vMerge/>
            <w:vAlign w:val="center"/>
            <w:hideMark/>
          </w:tcPr>
          <w:p w:rsidR="00BD58D3" w:rsidRPr="00BD58D3" w:rsidRDefault="00BD58D3" w:rsidP="00BD58D3">
            <w:pPr>
              <w:spacing w:after="0" w:line="240" w:lineRule="auto"/>
              <w:rPr>
                <w:rFonts w:eastAsia="Times New Roman" w:cs="Times New Roman"/>
                <w:sz w:val="20"/>
                <w:szCs w:val="20"/>
              </w:rPr>
            </w:pPr>
          </w:p>
        </w:tc>
      </w:tr>
      <w:tr w:rsidR="00BD58D3" w:rsidRPr="00BD58D3" w:rsidTr="007424E1">
        <w:trPr>
          <w:trHeight w:val="360"/>
          <w:jc w:val="center"/>
        </w:trPr>
        <w:tc>
          <w:tcPr>
            <w:tcW w:w="2165" w:type="dxa"/>
            <w:shd w:val="clear" w:color="auto" w:fill="auto"/>
            <w:noWrap/>
            <w:vAlign w:val="bottom"/>
            <w:hideMark/>
          </w:tcPr>
          <w:p w:rsidR="00BD58D3" w:rsidRPr="00BD58D3" w:rsidRDefault="00BD58D3" w:rsidP="00BD58D3">
            <w:pPr>
              <w:spacing w:after="0" w:line="240" w:lineRule="auto"/>
              <w:rPr>
                <w:rFonts w:eastAsia="Times New Roman" w:cs="Times New Roman"/>
                <w:sz w:val="20"/>
                <w:szCs w:val="20"/>
              </w:rPr>
            </w:pPr>
          </w:p>
        </w:tc>
        <w:tc>
          <w:tcPr>
            <w:tcW w:w="1530" w:type="dxa"/>
            <w:shd w:val="clear" w:color="auto" w:fill="auto"/>
            <w:noWrap/>
            <w:vAlign w:val="bottom"/>
            <w:hideMark/>
          </w:tcPr>
          <w:p w:rsidR="00BD58D3" w:rsidRPr="00BD58D3" w:rsidRDefault="00BD58D3" w:rsidP="00BD58D3">
            <w:pPr>
              <w:spacing w:after="0" w:line="240" w:lineRule="auto"/>
              <w:rPr>
                <w:rFonts w:eastAsia="Times New Roman" w:cs="Times New Roman"/>
                <w:sz w:val="20"/>
                <w:szCs w:val="20"/>
              </w:rPr>
            </w:pPr>
          </w:p>
        </w:tc>
        <w:tc>
          <w:tcPr>
            <w:tcW w:w="2520" w:type="dxa"/>
            <w:shd w:val="clear" w:color="auto" w:fill="auto"/>
            <w:noWrap/>
            <w:vAlign w:val="bottom"/>
            <w:hideMark/>
          </w:tcPr>
          <w:p w:rsidR="00BD58D3" w:rsidRPr="00BD58D3" w:rsidRDefault="00BD58D3" w:rsidP="00BD58D3">
            <w:pPr>
              <w:spacing w:after="0" w:line="240" w:lineRule="auto"/>
              <w:rPr>
                <w:rFonts w:eastAsia="Times New Roman" w:cs="Times New Roman"/>
                <w:sz w:val="20"/>
                <w:szCs w:val="20"/>
              </w:rPr>
            </w:pPr>
          </w:p>
        </w:tc>
        <w:tc>
          <w:tcPr>
            <w:tcW w:w="2038" w:type="dxa"/>
            <w:vMerge/>
            <w:vAlign w:val="center"/>
            <w:hideMark/>
          </w:tcPr>
          <w:p w:rsidR="00BD58D3" w:rsidRPr="00BD58D3" w:rsidRDefault="00BD58D3" w:rsidP="00BD58D3">
            <w:pPr>
              <w:spacing w:after="0" w:line="240" w:lineRule="auto"/>
              <w:rPr>
                <w:rFonts w:eastAsia="Times New Roman" w:cs="Times New Roman"/>
                <w:sz w:val="20"/>
                <w:szCs w:val="20"/>
              </w:rPr>
            </w:pPr>
          </w:p>
        </w:tc>
      </w:tr>
      <w:tr w:rsidR="00BD58D3" w:rsidRPr="00BD58D3" w:rsidTr="007424E1">
        <w:trPr>
          <w:trHeight w:val="585"/>
          <w:jc w:val="center"/>
        </w:trPr>
        <w:tc>
          <w:tcPr>
            <w:tcW w:w="8253" w:type="dxa"/>
            <w:gridSpan w:val="4"/>
            <w:shd w:val="clear" w:color="auto" w:fill="auto"/>
            <w:vAlign w:val="center"/>
            <w:hideMark/>
          </w:tcPr>
          <w:p w:rsidR="00BD58D3" w:rsidRPr="00BD58D3" w:rsidRDefault="00BD58D3" w:rsidP="00BD58D3">
            <w:pPr>
              <w:spacing w:after="0" w:line="240" w:lineRule="auto"/>
              <w:jc w:val="center"/>
              <w:rPr>
                <w:rFonts w:eastAsia="Times New Roman" w:cs="Times New Roman"/>
                <w:sz w:val="20"/>
                <w:szCs w:val="20"/>
              </w:rPr>
            </w:pPr>
            <w:r w:rsidRPr="00BD58D3">
              <w:rPr>
                <w:rFonts w:eastAsia="Times New Roman" w:cs="Times New Roman"/>
                <w:sz w:val="20"/>
                <w:szCs w:val="20"/>
              </w:rPr>
              <w:t>* Average commissions based on commissions paid January 1 2015 to December 31, 2015</w:t>
            </w:r>
          </w:p>
        </w:tc>
      </w:tr>
    </w:tbl>
    <w:p w:rsidR="000E52CD" w:rsidRPr="00CD639A" w:rsidRDefault="0058735B" w:rsidP="000E52CD">
      <w:pPr>
        <w:spacing w:after="0"/>
        <w:rPr>
          <w:sz w:val="16"/>
          <w:szCs w:val="16"/>
        </w:rPr>
      </w:pPr>
      <w:r w:rsidRPr="00CD639A">
        <w:rPr>
          <w:rFonts w:ascii="Times New Roman" w:hAnsi="Times New Roman" w:cs="Times New Roman"/>
          <w:sz w:val="16"/>
          <w:szCs w:val="16"/>
        </w:rPr>
        <w:tab/>
      </w:r>
      <w:r w:rsidRPr="00CD639A">
        <w:rPr>
          <w:sz w:val="16"/>
          <w:szCs w:val="16"/>
        </w:rPr>
        <w:tab/>
      </w:r>
      <w:r w:rsidRPr="00CD639A">
        <w:rPr>
          <w:sz w:val="16"/>
          <w:szCs w:val="16"/>
        </w:rPr>
        <w:tab/>
      </w:r>
      <w:r w:rsidRPr="00CD639A">
        <w:rPr>
          <w:sz w:val="16"/>
          <w:szCs w:val="16"/>
        </w:rPr>
        <w:tab/>
      </w:r>
      <w:r w:rsidRPr="00CD639A">
        <w:rPr>
          <w:sz w:val="16"/>
          <w:szCs w:val="16"/>
        </w:rPr>
        <w:tab/>
      </w:r>
      <w:r w:rsidRPr="00CD639A">
        <w:rPr>
          <w:sz w:val="16"/>
          <w:szCs w:val="16"/>
        </w:rPr>
        <w:tab/>
      </w:r>
    </w:p>
    <w:p w:rsidR="003A5A94" w:rsidRPr="00CD639A" w:rsidRDefault="000E52CD" w:rsidP="000E52CD">
      <w:pPr>
        <w:jc w:val="center"/>
        <w:rPr>
          <w:rFonts w:asciiTheme="majorHAnsi" w:hAnsiTheme="majorHAnsi"/>
          <w:sz w:val="16"/>
          <w:szCs w:val="16"/>
        </w:rPr>
      </w:pPr>
      <w:r w:rsidRPr="00CD639A">
        <w:rPr>
          <w:rFonts w:asciiTheme="majorHAnsi" w:hAnsiTheme="majorHAnsi"/>
          <w:sz w:val="16"/>
          <w:szCs w:val="16"/>
        </w:rPr>
        <w:t>These results do not reflect expenses incurred by distributors to build their businesses.</w:t>
      </w:r>
    </w:p>
    <w:sectPr w:rsidR="003A5A94" w:rsidRPr="00CD63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2DD" w:rsidRDefault="003252DD" w:rsidP="00E7464A">
      <w:pPr>
        <w:spacing w:after="0" w:line="240" w:lineRule="auto"/>
      </w:pPr>
      <w:r>
        <w:separator/>
      </w:r>
    </w:p>
  </w:endnote>
  <w:endnote w:type="continuationSeparator" w:id="0">
    <w:p w:rsidR="003252DD" w:rsidRDefault="003252DD" w:rsidP="00E7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E7464A">
      <w:trPr>
        <w:trHeight w:val="151"/>
      </w:trPr>
      <w:tc>
        <w:tcPr>
          <w:tcW w:w="2250" w:type="pct"/>
          <w:tcBorders>
            <w:bottom w:val="single" w:sz="4" w:space="0" w:color="4F81BD" w:themeColor="accent1"/>
          </w:tcBorders>
        </w:tcPr>
        <w:p w:rsidR="00E7464A" w:rsidRDefault="00E7464A">
          <w:pPr>
            <w:pStyle w:val="Header"/>
            <w:rPr>
              <w:rFonts w:asciiTheme="majorHAnsi" w:eastAsiaTheme="majorEastAsia" w:hAnsiTheme="majorHAnsi" w:cstheme="majorBidi"/>
              <w:b/>
              <w:bCs/>
            </w:rPr>
          </w:pPr>
        </w:p>
      </w:tc>
      <w:tc>
        <w:tcPr>
          <w:tcW w:w="500" w:type="pct"/>
          <w:vMerge w:val="restart"/>
          <w:noWrap/>
          <w:vAlign w:val="center"/>
        </w:tcPr>
        <w:p w:rsidR="00E7464A" w:rsidRPr="00E7464A" w:rsidRDefault="00E7464A" w:rsidP="00E7464A">
          <w:pPr>
            <w:pStyle w:val="NoSpacing"/>
            <w:jc w:val="center"/>
            <w:rPr>
              <w:rFonts w:asciiTheme="majorHAnsi" w:eastAsiaTheme="majorEastAsia" w:hAnsiTheme="majorHAnsi" w:cstheme="majorBidi"/>
              <w:sz w:val="16"/>
              <w:szCs w:val="16"/>
            </w:rPr>
          </w:pPr>
          <w:r w:rsidRPr="00E7464A">
            <w:rPr>
              <w:rFonts w:asciiTheme="majorHAnsi" w:eastAsiaTheme="majorEastAsia" w:hAnsiTheme="majorHAnsi" w:cstheme="majorBidi"/>
              <w:bCs/>
              <w:sz w:val="16"/>
              <w:szCs w:val="16"/>
            </w:rPr>
            <w:t xml:space="preserve">Page </w:t>
          </w:r>
          <w:r w:rsidRPr="00E7464A">
            <w:rPr>
              <w:rFonts w:asciiTheme="majorHAnsi" w:hAnsiTheme="majorHAnsi"/>
              <w:sz w:val="16"/>
              <w:szCs w:val="16"/>
            </w:rPr>
            <w:fldChar w:fldCharType="begin"/>
          </w:r>
          <w:r w:rsidRPr="00E7464A">
            <w:rPr>
              <w:rFonts w:asciiTheme="majorHAnsi" w:hAnsiTheme="majorHAnsi"/>
              <w:sz w:val="16"/>
              <w:szCs w:val="16"/>
            </w:rPr>
            <w:instrText xml:space="preserve"> PAGE  \* MERGEFORMAT </w:instrText>
          </w:r>
          <w:r w:rsidRPr="00E7464A">
            <w:rPr>
              <w:rFonts w:asciiTheme="majorHAnsi" w:hAnsiTheme="majorHAnsi"/>
              <w:sz w:val="16"/>
              <w:szCs w:val="16"/>
            </w:rPr>
            <w:fldChar w:fldCharType="separate"/>
          </w:r>
          <w:r w:rsidR="00BE68F2" w:rsidRPr="00BE68F2">
            <w:rPr>
              <w:rFonts w:asciiTheme="majorHAnsi" w:eastAsiaTheme="majorEastAsia" w:hAnsiTheme="majorHAnsi" w:cstheme="majorBidi"/>
              <w:bCs/>
              <w:noProof/>
              <w:sz w:val="16"/>
              <w:szCs w:val="16"/>
            </w:rPr>
            <w:t>1</w:t>
          </w:r>
          <w:r w:rsidRPr="00E7464A">
            <w:rPr>
              <w:rFonts w:asciiTheme="majorHAnsi" w:eastAsiaTheme="majorEastAsia" w:hAnsiTheme="majorHAnsi" w:cstheme="majorBidi"/>
              <w:bCs/>
              <w:noProof/>
              <w:sz w:val="16"/>
              <w:szCs w:val="16"/>
            </w:rPr>
            <w:fldChar w:fldCharType="end"/>
          </w:r>
        </w:p>
      </w:tc>
      <w:tc>
        <w:tcPr>
          <w:tcW w:w="2250" w:type="pct"/>
          <w:tcBorders>
            <w:bottom w:val="single" w:sz="4" w:space="0" w:color="4F81BD" w:themeColor="accent1"/>
          </w:tcBorders>
        </w:tcPr>
        <w:p w:rsidR="00E7464A" w:rsidRDefault="00E7464A">
          <w:pPr>
            <w:pStyle w:val="Header"/>
            <w:rPr>
              <w:rFonts w:asciiTheme="majorHAnsi" w:eastAsiaTheme="majorEastAsia" w:hAnsiTheme="majorHAnsi" w:cstheme="majorBidi"/>
              <w:b/>
              <w:bCs/>
            </w:rPr>
          </w:pPr>
        </w:p>
      </w:tc>
    </w:tr>
    <w:tr w:rsidR="00E7464A" w:rsidRPr="00E7464A">
      <w:trPr>
        <w:trHeight w:val="150"/>
      </w:trPr>
      <w:tc>
        <w:tcPr>
          <w:tcW w:w="2250" w:type="pct"/>
          <w:tcBorders>
            <w:top w:val="single" w:sz="4" w:space="0" w:color="4F81BD" w:themeColor="accent1"/>
          </w:tcBorders>
        </w:tcPr>
        <w:p w:rsidR="00E7464A" w:rsidRPr="00E7464A" w:rsidRDefault="00E7464A">
          <w:pPr>
            <w:pStyle w:val="Header"/>
            <w:rPr>
              <w:rFonts w:asciiTheme="majorHAnsi" w:eastAsiaTheme="majorEastAsia" w:hAnsiTheme="majorHAnsi" w:cstheme="majorBidi"/>
              <w:b/>
              <w:bCs/>
              <w:u w:val="single" w:color="7F7F7F" w:themeColor="text1" w:themeTint="80"/>
            </w:rPr>
          </w:pPr>
        </w:p>
      </w:tc>
      <w:tc>
        <w:tcPr>
          <w:tcW w:w="500" w:type="pct"/>
          <w:vMerge/>
        </w:tcPr>
        <w:p w:rsidR="00E7464A" w:rsidRPr="00E7464A" w:rsidRDefault="00E7464A">
          <w:pPr>
            <w:pStyle w:val="Header"/>
            <w:jc w:val="center"/>
            <w:rPr>
              <w:rFonts w:asciiTheme="majorHAnsi" w:eastAsiaTheme="majorEastAsia" w:hAnsiTheme="majorHAnsi" w:cstheme="majorBidi"/>
              <w:b/>
              <w:bCs/>
              <w:u w:val="single" w:color="7F7F7F" w:themeColor="text1" w:themeTint="80"/>
            </w:rPr>
          </w:pPr>
        </w:p>
      </w:tc>
      <w:tc>
        <w:tcPr>
          <w:tcW w:w="2250" w:type="pct"/>
          <w:tcBorders>
            <w:top w:val="single" w:sz="4" w:space="0" w:color="4F81BD" w:themeColor="accent1"/>
          </w:tcBorders>
        </w:tcPr>
        <w:p w:rsidR="00E7464A" w:rsidRPr="00E7464A" w:rsidRDefault="00E7464A">
          <w:pPr>
            <w:pStyle w:val="Header"/>
            <w:rPr>
              <w:rFonts w:asciiTheme="majorHAnsi" w:eastAsiaTheme="majorEastAsia" w:hAnsiTheme="majorHAnsi" w:cstheme="majorBidi"/>
              <w:b/>
              <w:bCs/>
              <w:u w:val="single" w:color="7F7F7F" w:themeColor="text1" w:themeTint="80"/>
            </w:rPr>
          </w:pPr>
        </w:p>
      </w:tc>
    </w:tr>
  </w:tbl>
  <w:p w:rsidR="00E7464A" w:rsidRDefault="00E74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2DD" w:rsidRDefault="003252DD" w:rsidP="00E7464A">
      <w:pPr>
        <w:spacing w:after="0" w:line="240" w:lineRule="auto"/>
      </w:pPr>
      <w:r>
        <w:separator/>
      </w:r>
    </w:p>
  </w:footnote>
  <w:footnote w:type="continuationSeparator" w:id="0">
    <w:p w:rsidR="003252DD" w:rsidRDefault="003252DD" w:rsidP="00E74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5B"/>
    <w:rsid w:val="000E52CD"/>
    <w:rsid w:val="0014466D"/>
    <w:rsid w:val="001B6D26"/>
    <w:rsid w:val="00302FC2"/>
    <w:rsid w:val="003252DD"/>
    <w:rsid w:val="003A5A94"/>
    <w:rsid w:val="0045618E"/>
    <w:rsid w:val="0058735B"/>
    <w:rsid w:val="00653E0D"/>
    <w:rsid w:val="007424E1"/>
    <w:rsid w:val="00A84A2D"/>
    <w:rsid w:val="00BD58D3"/>
    <w:rsid w:val="00BE68F2"/>
    <w:rsid w:val="00CD639A"/>
    <w:rsid w:val="00E7464A"/>
    <w:rsid w:val="00F36428"/>
    <w:rsid w:val="00F97008"/>
    <w:rsid w:val="00FB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64A"/>
  </w:style>
  <w:style w:type="paragraph" w:styleId="Footer">
    <w:name w:val="footer"/>
    <w:basedOn w:val="Normal"/>
    <w:link w:val="FooterChar"/>
    <w:uiPriority w:val="99"/>
    <w:unhideWhenUsed/>
    <w:rsid w:val="00E74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64A"/>
  </w:style>
  <w:style w:type="paragraph" w:styleId="NoSpacing">
    <w:name w:val="No Spacing"/>
    <w:link w:val="NoSpacingChar"/>
    <w:uiPriority w:val="1"/>
    <w:qFormat/>
    <w:rsid w:val="00E7464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7464A"/>
    <w:rPr>
      <w:rFonts w:eastAsiaTheme="minorEastAsia"/>
      <w:lang w:eastAsia="ja-JP"/>
    </w:rPr>
  </w:style>
  <w:style w:type="paragraph" w:styleId="BalloonText">
    <w:name w:val="Balloon Text"/>
    <w:basedOn w:val="Normal"/>
    <w:link w:val="BalloonTextChar"/>
    <w:uiPriority w:val="99"/>
    <w:semiHidden/>
    <w:unhideWhenUsed/>
    <w:rsid w:val="00E74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64A"/>
  </w:style>
  <w:style w:type="paragraph" w:styleId="Footer">
    <w:name w:val="footer"/>
    <w:basedOn w:val="Normal"/>
    <w:link w:val="FooterChar"/>
    <w:uiPriority w:val="99"/>
    <w:unhideWhenUsed/>
    <w:rsid w:val="00E74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64A"/>
  </w:style>
  <w:style w:type="paragraph" w:styleId="NoSpacing">
    <w:name w:val="No Spacing"/>
    <w:link w:val="NoSpacingChar"/>
    <w:uiPriority w:val="1"/>
    <w:qFormat/>
    <w:rsid w:val="00E7464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7464A"/>
    <w:rPr>
      <w:rFonts w:eastAsiaTheme="minorEastAsia"/>
      <w:lang w:eastAsia="ja-JP"/>
    </w:rPr>
  </w:style>
  <w:style w:type="paragraph" w:styleId="BalloonText">
    <w:name w:val="Balloon Text"/>
    <w:basedOn w:val="Normal"/>
    <w:link w:val="BalloonTextChar"/>
    <w:uiPriority w:val="99"/>
    <w:semiHidden/>
    <w:unhideWhenUsed/>
    <w:rsid w:val="00E74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431">
      <w:bodyDiv w:val="1"/>
      <w:marLeft w:val="0"/>
      <w:marRight w:val="0"/>
      <w:marTop w:val="0"/>
      <w:marBottom w:val="0"/>
      <w:divBdr>
        <w:top w:val="none" w:sz="0" w:space="0" w:color="auto"/>
        <w:left w:val="none" w:sz="0" w:space="0" w:color="auto"/>
        <w:bottom w:val="none" w:sz="0" w:space="0" w:color="auto"/>
        <w:right w:val="none" w:sz="0" w:space="0" w:color="auto"/>
      </w:divBdr>
    </w:div>
    <w:div w:id="17225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Grevstad</dc:creator>
  <cp:lastModifiedBy>Terry Grevstad</cp:lastModifiedBy>
  <cp:revision>2</cp:revision>
  <dcterms:created xsi:type="dcterms:W3CDTF">2016-04-11T15:24:00Z</dcterms:created>
  <dcterms:modified xsi:type="dcterms:W3CDTF">2016-04-11T15:24:00Z</dcterms:modified>
</cp:coreProperties>
</file>